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2C" w:rsidRDefault="007F4C2C" w:rsidP="007F4C2C">
      <w:pPr>
        <w:ind w:left="360"/>
        <w:jc w:val="center"/>
        <w:rPr>
          <w:rFonts w:asciiTheme="majorBidi" w:hAnsiTheme="majorBidi" w:cstheme="majorBidi"/>
          <w:b/>
          <w:bCs/>
          <w:w w:val="150"/>
        </w:rPr>
      </w:pPr>
      <w:r w:rsidRPr="007F4C2C">
        <w:rPr>
          <w:rFonts w:asciiTheme="majorBidi" w:hAnsiTheme="majorBidi" w:cstheme="majorBidi"/>
          <w:b/>
          <w:bCs/>
          <w:w w:val="150"/>
        </w:rPr>
        <w:t xml:space="preserve">Principales entités pathologiques en aviculture. Développement d’outils de suivi permanent </w:t>
      </w:r>
    </w:p>
    <w:p w:rsidR="00514244" w:rsidRDefault="00514244" w:rsidP="007F4C2C">
      <w:pPr>
        <w:ind w:left="360"/>
        <w:jc w:val="center"/>
        <w:rPr>
          <w:rFonts w:asciiTheme="majorBidi" w:hAnsiTheme="majorBidi" w:cstheme="majorBidi"/>
          <w:b/>
          <w:bCs/>
          <w:w w:val="150"/>
        </w:rPr>
      </w:pPr>
    </w:p>
    <w:p w:rsidR="007F4C2C" w:rsidRPr="00514244" w:rsidRDefault="007F4C2C" w:rsidP="00514244">
      <w:pPr>
        <w:jc w:val="center"/>
        <w:rPr>
          <w:rFonts w:asciiTheme="majorBidi" w:hAnsiTheme="majorBidi" w:cstheme="majorBidi"/>
          <w:sz w:val="20"/>
          <w:szCs w:val="20"/>
          <w:vertAlign w:val="superscript"/>
          <w:lang w:val="it-IT"/>
        </w:rPr>
      </w:pPr>
      <w:r w:rsidRPr="00514244">
        <w:rPr>
          <w:rFonts w:asciiTheme="majorBidi" w:hAnsiTheme="majorBidi" w:cstheme="majorBidi"/>
          <w:sz w:val="20"/>
          <w:szCs w:val="20"/>
          <w:lang w:val="it-IT"/>
        </w:rPr>
        <w:t>Cherif Akram</w:t>
      </w:r>
      <w:r w:rsidRPr="00514244">
        <w:rPr>
          <w:rFonts w:asciiTheme="majorBidi" w:hAnsiTheme="majorBidi" w:cstheme="majorBidi"/>
          <w:sz w:val="20"/>
          <w:szCs w:val="20"/>
          <w:vertAlign w:val="superscript"/>
          <w:lang w:val="it-IT"/>
        </w:rPr>
        <w:t>1</w:t>
      </w:r>
      <w:r w:rsidRPr="00514244">
        <w:rPr>
          <w:rFonts w:asciiTheme="majorBidi" w:hAnsiTheme="majorBidi" w:cstheme="majorBidi"/>
          <w:sz w:val="20"/>
          <w:szCs w:val="20"/>
          <w:lang w:val="it-IT"/>
        </w:rPr>
        <w:t>, Dhaoui Amina</w:t>
      </w:r>
      <w:r w:rsidRPr="00514244">
        <w:rPr>
          <w:rFonts w:asciiTheme="majorBidi" w:hAnsiTheme="majorBidi" w:cstheme="majorBidi"/>
          <w:sz w:val="20"/>
          <w:szCs w:val="20"/>
          <w:vertAlign w:val="superscript"/>
          <w:lang w:val="it-IT"/>
        </w:rPr>
        <w:t>2</w:t>
      </w:r>
      <w:r w:rsidRPr="00514244">
        <w:rPr>
          <w:rFonts w:asciiTheme="majorBidi" w:hAnsiTheme="majorBidi" w:cstheme="majorBidi"/>
          <w:sz w:val="20"/>
          <w:szCs w:val="20"/>
          <w:lang w:val="it-IT"/>
        </w:rPr>
        <w:t>, Kaboudi Khaled</w:t>
      </w:r>
      <w:r w:rsidRPr="00514244">
        <w:rPr>
          <w:rFonts w:asciiTheme="majorBidi" w:hAnsiTheme="majorBidi" w:cstheme="majorBidi"/>
          <w:sz w:val="20"/>
          <w:szCs w:val="20"/>
          <w:vertAlign w:val="superscript"/>
          <w:lang w:val="it-IT"/>
        </w:rPr>
        <w:t>3</w:t>
      </w:r>
      <w:r w:rsidRPr="00514244">
        <w:rPr>
          <w:rFonts w:asciiTheme="majorBidi" w:hAnsiTheme="majorBidi" w:cstheme="majorBidi"/>
          <w:sz w:val="20"/>
          <w:szCs w:val="20"/>
          <w:lang w:val="it-IT"/>
        </w:rPr>
        <w:t>, Turki Imed</w:t>
      </w:r>
      <w:r w:rsidR="00514244" w:rsidRPr="00514244">
        <w:rPr>
          <w:rFonts w:asciiTheme="majorBidi" w:hAnsiTheme="majorBidi" w:cstheme="majorBidi"/>
          <w:sz w:val="20"/>
          <w:szCs w:val="20"/>
          <w:vertAlign w:val="superscript"/>
          <w:lang w:val="it-IT"/>
        </w:rPr>
        <w:t>4</w:t>
      </w:r>
      <w:r w:rsidRPr="00514244">
        <w:rPr>
          <w:rFonts w:asciiTheme="majorBidi" w:hAnsiTheme="majorBidi" w:cstheme="majorBidi"/>
          <w:sz w:val="20"/>
          <w:szCs w:val="20"/>
          <w:lang w:val="it-IT"/>
        </w:rPr>
        <w:t xml:space="preserve">, </w:t>
      </w:r>
      <w:r w:rsidR="00514244" w:rsidRPr="00514244">
        <w:rPr>
          <w:rFonts w:asciiTheme="majorBidi" w:hAnsiTheme="majorBidi" w:cstheme="majorBidi"/>
          <w:sz w:val="20"/>
          <w:szCs w:val="20"/>
          <w:lang w:val="it-IT"/>
        </w:rPr>
        <w:t>Chakroun</w:t>
      </w:r>
      <w:r w:rsidRPr="00514244">
        <w:rPr>
          <w:rFonts w:asciiTheme="majorBidi" w:hAnsiTheme="majorBidi" w:cstheme="majorBidi"/>
          <w:sz w:val="20"/>
          <w:szCs w:val="20"/>
          <w:lang w:val="it-IT"/>
        </w:rPr>
        <w:t xml:space="preserve"> </w:t>
      </w:r>
      <w:r w:rsidR="00514244" w:rsidRPr="00514244">
        <w:rPr>
          <w:rFonts w:asciiTheme="majorBidi" w:hAnsiTheme="majorBidi" w:cstheme="majorBidi"/>
          <w:sz w:val="20"/>
          <w:szCs w:val="20"/>
          <w:lang w:val="it-IT"/>
        </w:rPr>
        <w:t>Chahi</w:t>
      </w:r>
      <w:r w:rsidRPr="00514244">
        <w:rPr>
          <w:rFonts w:asciiTheme="majorBidi" w:hAnsiTheme="majorBidi" w:cstheme="majorBidi"/>
          <w:sz w:val="20"/>
          <w:szCs w:val="20"/>
          <w:lang w:val="it-IT"/>
        </w:rPr>
        <w:t>d</w:t>
      </w:r>
      <w:r w:rsidR="00514244" w:rsidRPr="00514244">
        <w:rPr>
          <w:rFonts w:asciiTheme="majorBidi" w:hAnsiTheme="majorBidi" w:cstheme="majorBidi"/>
          <w:sz w:val="20"/>
          <w:szCs w:val="20"/>
          <w:vertAlign w:val="superscript"/>
          <w:lang w:val="it-IT"/>
        </w:rPr>
        <w:t xml:space="preserve">2 </w:t>
      </w:r>
      <w:r w:rsidR="00514244" w:rsidRPr="00514244">
        <w:rPr>
          <w:rFonts w:asciiTheme="majorBidi" w:hAnsiTheme="majorBidi" w:cstheme="majorBidi"/>
          <w:sz w:val="20"/>
          <w:szCs w:val="20"/>
          <w:lang w:val="it-IT"/>
        </w:rPr>
        <w:t>, Bouzouaia Moncef</w:t>
      </w:r>
      <w:r w:rsidR="00514244" w:rsidRPr="00514244">
        <w:rPr>
          <w:rFonts w:asciiTheme="majorBidi" w:hAnsiTheme="majorBidi" w:cstheme="majorBidi"/>
          <w:sz w:val="20"/>
          <w:szCs w:val="20"/>
          <w:vertAlign w:val="superscript"/>
          <w:lang w:val="it-IT"/>
        </w:rPr>
        <w:t>3</w:t>
      </w:r>
    </w:p>
    <w:p w:rsidR="007F4C2C" w:rsidRPr="000D031C" w:rsidRDefault="007F4C2C" w:rsidP="007F4C2C">
      <w:pPr>
        <w:jc w:val="center"/>
        <w:rPr>
          <w:rFonts w:ascii="Tahoma" w:hAnsi="Tahoma" w:cs="Tahoma"/>
          <w:sz w:val="22"/>
          <w:szCs w:val="22"/>
          <w:vertAlign w:val="superscript"/>
          <w:lang w:val="it-IT"/>
        </w:rPr>
      </w:pPr>
    </w:p>
    <w:p w:rsidR="007F4C2C" w:rsidRPr="00514244" w:rsidRDefault="007F4C2C" w:rsidP="00514244">
      <w:pPr>
        <w:ind w:left="360"/>
        <w:rPr>
          <w:rFonts w:asciiTheme="majorBidi" w:hAnsiTheme="majorBidi" w:cstheme="majorBidi"/>
          <w:sz w:val="20"/>
          <w:szCs w:val="20"/>
        </w:rPr>
      </w:pPr>
      <w:r w:rsidRPr="00514244">
        <w:rPr>
          <w:rFonts w:asciiTheme="majorBidi" w:hAnsiTheme="majorBidi" w:cstheme="majorBidi"/>
          <w:sz w:val="20"/>
          <w:szCs w:val="20"/>
        </w:rPr>
        <w:t xml:space="preserve">1. </w:t>
      </w:r>
      <w:r w:rsidR="00514244" w:rsidRPr="00514244">
        <w:rPr>
          <w:rFonts w:asciiTheme="majorBidi" w:hAnsiTheme="majorBidi" w:cstheme="majorBidi"/>
          <w:sz w:val="20"/>
          <w:szCs w:val="20"/>
        </w:rPr>
        <w:t xml:space="preserve">Laboratoire d’Immunologie, Institut de </w:t>
      </w:r>
      <w:smartTag w:uri="urn:schemas-microsoft-com:office:smarttags" w:element="PersonName">
        <w:smartTagPr>
          <w:attr w:name="ProductID" w:val="la Recherche Vétérinaire"/>
        </w:smartTagPr>
        <w:smartTag w:uri="urn:schemas-microsoft-com:office:smarttags" w:element="PersonName">
          <w:smartTagPr>
            <w:attr w:name="ProductID" w:val="la Recherche"/>
          </w:smartTagPr>
          <w:r w:rsidR="00514244" w:rsidRPr="00514244">
            <w:rPr>
              <w:rFonts w:asciiTheme="majorBidi" w:hAnsiTheme="majorBidi" w:cstheme="majorBidi"/>
              <w:sz w:val="20"/>
              <w:szCs w:val="20"/>
            </w:rPr>
            <w:t>la Recherche</w:t>
          </w:r>
        </w:smartTag>
        <w:r w:rsidR="00514244" w:rsidRPr="00514244">
          <w:rPr>
            <w:rFonts w:asciiTheme="majorBidi" w:hAnsiTheme="majorBidi" w:cstheme="majorBidi"/>
            <w:sz w:val="20"/>
            <w:szCs w:val="20"/>
          </w:rPr>
          <w:t xml:space="preserve"> Vétérinaire</w:t>
        </w:r>
      </w:smartTag>
      <w:r w:rsidR="00514244" w:rsidRPr="00514244">
        <w:rPr>
          <w:rFonts w:asciiTheme="majorBidi" w:hAnsiTheme="majorBidi" w:cstheme="majorBidi"/>
          <w:sz w:val="20"/>
          <w:szCs w:val="20"/>
        </w:rPr>
        <w:t>, Tunis</w:t>
      </w:r>
    </w:p>
    <w:p w:rsidR="007F4C2C" w:rsidRPr="00514244" w:rsidRDefault="007F4C2C" w:rsidP="00514244">
      <w:pPr>
        <w:ind w:left="360"/>
        <w:rPr>
          <w:rFonts w:asciiTheme="majorBidi" w:hAnsiTheme="majorBidi" w:cstheme="majorBidi"/>
          <w:sz w:val="20"/>
          <w:szCs w:val="20"/>
        </w:rPr>
      </w:pPr>
      <w:r w:rsidRPr="00514244">
        <w:rPr>
          <w:rFonts w:asciiTheme="majorBidi" w:hAnsiTheme="majorBidi" w:cstheme="majorBidi"/>
          <w:sz w:val="20"/>
          <w:szCs w:val="20"/>
        </w:rPr>
        <w:t xml:space="preserve">2. </w:t>
      </w:r>
      <w:r w:rsidR="00514244" w:rsidRPr="00514244">
        <w:rPr>
          <w:rFonts w:asciiTheme="majorBidi" w:hAnsiTheme="majorBidi" w:cstheme="majorBidi"/>
          <w:sz w:val="20"/>
          <w:szCs w:val="20"/>
        </w:rPr>
        <w:t xml:space="preserve">Groupement Interprofessionnel des Produits Avicoles et </w:t>
      </w:r>
      <w:proofErr w:type="spellStart"/>
      <w:r w:rsidR="00514244" w:rsidRPr="00514244">
        <w:rPr>
          <w:rFonts w:asciiTheme="majorBidi" w:hAnsiTheme="majorBidi" w:cstheme="majorBidi"/>
          <w:sz w:val="20"/>
          <w:szCs w:val="20"/>
        </w:rPr>
        <w:t>Cunicoles</w:t>
      </w:r>
      <w:proofErr w:type="spellEnd"/>
      <w:r w:rsidR="00514244" w:rsidRPr="00514244">
        <w:rPr>
          <w:rFonts w:asciiTheme="majorBidi" w:hAnsiTheme="majorBidi" w:cstheme="majorBidi"/>
          <w:sz w:val="20"/>
          <w:szCs w:val="20"/>
        </w:rPr>
        <w:t>, Tunis</w:t>
      </w:r>
    </w:p>
    <w:p w:rsidR="00514244" w:rsidRPr="00514244" w:rsidRDefault="007F4C2C" w:rsidP="00514244">
      <w:pPr>
        <w:ind w:left="360"/>
        <w:rPr>
          <w:rFonts w:asciiTheme="majorBidi" w:hAnsiTheme="majorBidi" w:cstheme="majorBidi"/>
          <w:sz w:val="20"/>
          <w:szCs w:val="20"/>
        </w:rPr>
      </w:pPr>
      <w:r w:rsidRPr="00514244">
        <w:rPr>
          <w:rFonts w:asciiTheme="majorBidi" w:hAnsiTheme="majorBidi" w:cstheme="majorBidi"/>
          <w:sz w:val="20"/>
          <w:szCs w:val="20"/>
        </w:rPr>
        <w:t xml:space="preserve">3. </w:t>
      </w:r>
      <w:r w:rsidR="00514244" w:rsidRPr="00514244">
        <w:rPr>
          <w:rFonts w:asciiTheme="majorBidi" w:hAnsiTheme="majorBidi" w:cstheme="majorBidi"/>
          <w:sz w:val="20"/>
          <w:szCs w:val="20"/>
        </w:rPr>
        <w:t>Service Pathologie aviaire, Ecole Nationale de Médecine Vétérinaire, Sidi Thabet</w:t>
      </w:r>
    </w:p>
    <w:p w:rsidR="00514244" w:rsidRPr="00514244" w:rsidRDefault="00514244" w:rsidP="00514244">
      <w:pPr>
        <w:ind w:left="360"/>
        <w:rPr>
          <w:rFonts w:asciiTheme="majorBidi" w:hAnsiTheme="majorBidi" w:cstheme="majorBidi"/>
          <w:sz w:val="20"/>
          <w:szCs w:val="20"/>
        </w:rPr>
      </w:pPr>
      <w:r w:rsidRPr="00514244">
        <w:rPr>
          <w:rFonts w:asciiTheme="majorBidi" w:hAnsiTheme="majorBidi" w:cstheme="majorBidi"/>
          <w:sz w:val="20"/>
          <w:szCs w:val="20"/>
        </w:rPr>
        <w:t>4. Service Maladies contagieuses, Ecole Nationale de Médecine Vétérinaire, Sidi Thabet</w:t>
      </w:r>
    </w:p>
    <w:p w:rsidR="00514244" w:rsidRDefault="00514244" w:rsidP="00514244">
      <w:pPr>
        <w:ind w:left="360"/>
        <w:rPr>
          <w:rFonts w:ascii="Tahoma" w:hAnsi="Tahoma" w:cs="Tahoma"/>
          <w:sz w:val="20"/>
          <w:szCs w:val="20"/>
        </w:rPr>
      </w:pPr>
    </w:p>
    <w:p w:rsidR="007F4C2C" w:rsidRPr="00514244" w:rsidRDefault="007F4C2C" w:rsidP="007F4C2C">
      <w:pPr>
        <w:jc w:val="both"/>
        <w:rPr>
          <w:sz w:val="22"/>
          <w:szCs w:val="22"/>
        </w:rPr>
      </w:pPr>
      <w:r w:rsidRPr="00514244">
        <w:rPr>
          <w:sz w:val="22"/>
          <w:szCs w:val="22"/>
        </w:rPr>
        <w:t>La prophylaxie médicale chez les reproducteurs est difficile à mettre en place. La situation épidémiologique, climatique de la Tunisie lui donne une spécificité dont il faut tenir compte dans l’élaboration du tableau vaccinal. D’autres facteurs peuvent compliquer le problème : le système d’appel d’offres pour l’acquisition de vaccin par la pharmacie centrale, la qualification des différents intervenants, l’absence de tradition de recours au laboratoire …</w:t>
      </w:r>
    </w:p>
    <w:p w:rsidR="007F4C2C" w:rsidRPr="00514244" w:rsidRDefault="007F4C2C" w:rsidP="00514244">
      <w:pPr>
        <w:jc w:val="both"/>
        <w:rPr>
          <w:sz w:val="22"/>
          <w:szCs w:val="22"/>
        </w:rPr>
      </w:pPr>
      <w:r w:rsidRPr="00514244">
        <w:rPr>
          <w:sz w:val="22"/>
          <w:szCs w:val="22"/>
        </w:rPr>
        <w:t xml:space="preserve">La présente action cherche à mettre en place un système qui permettrait de disposer d’une base de données objective indispensable </w:t>
      </w:r>
      <w:r w:rsidR="00514244" w:rsidRPr="00514244">
        <w:rPr>
          <w:sz w:val="22"/>
          <w:szCs w:val="22"/>
        </w:rPr>
        <w:t>pour le choix</w:t>
      </w:r>
      <w:r w:rsidRPr="00514244">
        <w:rPr>
          <w:sz w:val="22"/>
          <w:szCs w:val="22"/>
        </w:rPr>
        <w:t xml:space="preserve"> d’un programme objectif de prophylaxie.</w:t>
      </w:r>
    </w:p>
    <w:p w:rsidR="007F4C2C" w:rsidRPr="00514244" w:rsidRDefault="007F4C2C" w:rsidP="00514244">
      <w:pPr>
        <w:jc w:val="both"/>
        <w:rPr>
          <w:sz w:val="22"/>
          <w:szCs w:val="22"/>
        </w:rPr>
      </w:pPr>
      <w:r w:rsidRPr="00514244">
        <w:rPr>
          <w:sz w:val="22"/>
          <w:szCs w:val="22"/>
        </w:rPr>
        <w:t xml:space="preserve">L’action s’articule autour d’une enquête </w:t>
      </w:r>
      <w:proofErr w:type="spellStart"/>
      <w:r w:rsidRPr="00514244">
        <w:rPr>
          <w:sz w:val="22"/>
          <w:szCs w:val="22"/>
        </w:rPr>
        <w:t>séro</w:t>
      </w:r>
      <w:proofErr w:type="spellEnd"/>
      <w:r w:rsidR="00514244" w:rsidRPr="00514244">
        <w:rPr>
          <w:sz w:val="22"/>
          <w:szCs w:val="22"/>
        </w:rPr>
        <w:t>-</w:t>
      </w:r>
      <w:r w:rsidRPr="00514244">
        <w:rPr>
          <w:sz w:val="22"/>
          <w:szCs w:val="22"/>
        </w:rPr>
        <w:t>épidémiologique qui vise principalement les bâtiments de reproducteurs (6 centres de reproducteurs chair, 4 centres de reproducteurs ponte et 1 centre reproducteur dinde chair). 2 centres de poules pondeuses, 2 centres de poulets de chair et 1 centre dinde chair ont également été retenus pour les besoins de l’enquête.</w:t>
      </w:r>
    </w:p>
    <w:p w:rsidR="008D1315" w:rsidRDefault="007F4C2C" w:rsidP="008D1315">
      <w:pPr>
        <w:jc w:val="both"/>
        <w:rPr>
          <w:sz w:val="22"/>
          <w:szCs w:val="22"/>
        </w:rPr>
      </w:pPr>
      <w:r w:rsidRPr="00514244">
        <w:rPr>
          <w:sz w:val="22"/>
          <w:szCs w:val="22"/>
        </w:rPr>
        <w:t xml:space="preserve">Un programme de visites et de prélèvements a été élaboré basé sur le programme de vaccination préconisé par la commission nationale de pathologie aviaire. </w:t>
      </w:r>
    </w:p>
    <w:p w:rsidR="007F4C2C" w:rsidRPr="00514244" w:rsidRDefault="008D1315" w:rsidP="008D1315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7F4C2C" w:rsidRPr="00514244">
        <w:rPr>
          <w:sz w:val="22"/>
          <w:szCs w:val="22"/>
        </w:rPr>
        <w:t>es différentes maladies considérées par le travail, so</w:t>
      </w:r>
      <w:r>
        <w:rPr>
          <w:sz w:val="22"/>
          <w:szCs w:val="22"/>
        </w:rPr>
        <w:t>n</w:t>
      </w:r>
      <w:r w:rsidR="007F4C2C" w:rsidRPr="00514244">
        <w:rPr>
          <w:sz w:val="22"/>
          <w:szCs w:val="22"/>
        </w:rPr>
        <w:t xml:space="preserve">t : la maladie de Newcastle, la maladie de Gumboro, la Bronchite Infectieuse, la Réovirose, le Syndrome Chute de Ponte (EDS), le Syndrome Infectieux Grosse Tête (SIGT) et la </w:t>
      </w:r>
      <w:proofErr w:type="spellStart"/>
      <w:r w:rsidR="007F4C2C" w:rsidRPr="00514244">
        <w:rPr>
          <w:sz w:val="22"/>
          <w:szCs w:val="22"/>
        </w:rPr>
        <w:t>Laryngotrachéite</w:t>
      </w:r>
      <w:proofErr w:type="spellEnd"/>
      <w:r w:rsidR="007F4C2C" w:rsidRPr="00514244">
        <w:rPr>
          <w:sz w:val="22"/>
          <w:szCs w:val="22"/>
        </w:rPr>
        <w:t xml:space="preserve"> Infectieuse (LTI) pour les centres reproducteurs chair et ponte poule et les pondeuses. Les bâtiments de poulet de chair ont été contrôlés vis-à-vis de la maladie de Newcastle, la maladie de Gumboro, la Bronchite Infectieuse et la Réovirose. Les dindes de chair ou reproductrices ont été contrôlées vis-à-vis de la maladie de Newcastle et la Rhinotrachéite Infectieuse de la dinde (TRT). En plus un contrôle sérologique vis-à-vis de </w:t>
      </w:r>
      <w:r w:rsidR="007F4C2C" w:rsidRPr="00514244">
        <w:rPr>
          <w:i/>
          <w:iCs/>
          <w:sz w:val="22"/>
          <w:szCs w:val="22"/>
        </w:rPr>
        <w:t>Salmonella pullorum gallinarum</w:t>
      </w:r>
      <w:r w:rsidR="007F4C2C" w:rsidRPr="00514244">
        <w:rPr>
          <w:sz w:val="22"/>
          <w:szCs w:val="22"/>
        </w:rPr>
        <w:t>, et les différents mycoplasmes (</w:t>
      </w:r>
      <w:r w:rsidR="007F4C2C" w:rsidRPr="00514244">
        <w:rPr>
          <w:i/>
          <w:iCs/>
          <w:sz w:val="22"/>
          <w:szCs w:val="22"/>
        </w:rPr>
        <w:t>M. gallisepticum</w:t>
      </w:r>
      <w:r w:rsidR="007F4C2C" w:rsidRPr="00514244">
        <w:rPr>
          <w:sz w:val="22"/>
          <w:szCs w:val="22"/>
        </w:rPr>
        <w:t xml:space="preserve">, </w:t>
      </w:r>
      <w:r w:rsidR="007F4C2C" w:rsidRPr="00514244">
        <w:rPr>
          <w:i/>
          <w:iCs/>
          <w:sz w:val="22"/>
          <w:szCs w:val="22"/>
        </w:rPr>
        <w:t>M. synoviae</w:t>
      </w:r>
      <w:r w:rsidR="007F4C2C" w:rsidRPr="00514244">
        <w:rPr>
          <w:sz w:val="22"/>
          <w:szCs w:val="22"/>
        </w:rPr>
        <w:t xml:space="preserve"> et </w:t>
      </w:r>
      <w:r w:rsidR="007F4C2C" w:rsidRPr="00514244">
        <w:rPr>
          <w:i/>
          <w:iCs/>
          <w:sz w:val="22"/>
          <w:szCs w:val="22"/>
        </w:rPr>
        <w:t>M. meleagridis</w:t>
      </w:r>
      <w:r w:rsidR="007F4C2C" w:rsidRPr="00514244">
        <w:rPr>
          <w:sz w:val="22"/>
          <w:szCs w:val="22"/>
        </w:rPr>
        <w:t>) est réalisé systématiquement.</w:t>
      </w:r>
    </w:p>
    <w:p w:rsidR="007F4C2C" w:rsidRPr="00514244" w:rsidRDefault="007F4C2C" w:rsidP="007F4C2C">
      <w:pPr>
        <w:jc w:val="both"/>
        <w:rPr>
          <w:sz w:val="22"/>
          <w:szCs w:val="22"/>
        </w:rPr>
      </w:pPr>
      <w:r w:rsidRPr="00514244">
        <w:rPr>
          <w:sz w:val="22"/>
          <w:szCs w:val="22"/>
        </w:rPr>
        <w:t xml:space="preserve">8 visites des reproducteurs et poules pondeuses ont été programmées, 4 visites des bâtiments de poulet de chair et respectivement 7 et 4 visites des reproducteurs dinde et dinde de chair. A chaque visite, outre un questionnaire à remplir, des échantillons de 20 à 30 prélèvements de sang sont réalisés ; soit au total plus de </w:t>
      </w:r>
      <w:r w:rsidRPr="00514244">
        <w:rPr>
          <w:b/>
          <w:bCs/>
          <w:i/>
          <w:iCs/>
          <w:sz w:val="22"/>
          <w:szCs w:val="22"/>
        </w:rPr>
        <w:t>2500</w:t>
      </w:r>
      <w:r w:rsidRPr="00514244">
        <w:rPr>
          <w:sz w:val="22"/>
          <w:szCs w:val="22"/>
        </w:rPr>
        <w:t xml:space="preserve"> sérums qui seront soumis à différents tests (ARL et ELISA). En tout </w:t>
      </w:r>
      <w:r w:rsidRPr="00514244">
        <w:rPr>
          <w:b/>
          <w:bCs/>
          <w:i/>
          <w:iCs/>
          <w:sz w:val="22"/>
          <w:szCs w:val="22"/>
        </w:rPr>
        <w:t>8500</w:t>
      </w:r>
      <w:r w:rsidRPr="00514244">
        <w:rPr>
          <w:sz w:val="22"/>
          <w:szCs w:val="22"/>
        </w:rPr>
        <w:t xml:space="preserve"> tests ARL et </w:t>
      </w:r>
      <w:r w:rsidRPr="00514244">
        <w:rPr>
          <w:b/>
          <w:bCs/>
          <w:i/>
          <w:iCs/>
          <w:sz w:val="22"/>
          <w:szCs w:val="22"/>
        </w:rPr>
        <w:t>13250</w:t>
      </w:r>
      <w:r w:rsidRPr="00514244">
        <w:rPr>
          <w:sz w:val="22"/>
          <w:szCs w:val="22"/>
        </w:rPr>
        <w:t xml:space="preserve"> tests ELISA ont été réalisés.</w:t>
      </w:r>
    </w:p>
    <w:p w:rsidR="007F4C2C" w:rsidRPr="00514244" w:rsidRDefault="007F4C2C" w:rsidP="00514244">
      <w:pPr>
        <w:jc w:val="both"/>
        <w:rPr>
          <w:sz w:val="22"/>
          <w:szCs w:val="22"/>
        </w:rPr>
      </w:pPr>
      <w:r w:rsidRPr="00514244">
        <w:rPr>
          <w:sz w:val="22"/>
          <w:szCs w:val="22"/>
        </w:rPr>
        <w:t xml:space="preserve">Les résultats de l’enquête </w:t>
      </w:r>
      <w:proofErr w:type="spellStart"/>
      <w:r w:rsidRPr="00514244">
        <w:rPr>
          <w:sz w:val="22"/>
          <w:szCs w:val="22"/>
        </w:rPr>
        <w:t>séro</w:t>
      </w:r>
      <w:proofErr w:type="spellEnd"/>
      <w:r w:rsidR="00514244" w:rsidRPr="00514244">
        <w:rPr>
          <w:sz w:val="22"/>
          <w:szCs w:val="22"/>
        </w:rPr>
        <w:t>-</w:t>
      </w:r>
      <w:r w:rsidRPr="00514244">
        <w:rPr>
          <w:sz w:val="22"/>
          <w:szCs w:val="22"/>
        </w:rPr>
        <w:t>épidémiologique ont permis de montrer :</w:t>
      </w:r>
    </w:p>
    <w:p w:rsidR="007F4C2C" w:rsidRPr="00514244" w:rsidRDefault="007F4C2C" w:rsidP="007F4C2C">
      <w:pPr>
        <w:numPr>
          <w:ilvl w:val="0"/>
          <w:numId w:val="1"/>
        </w:numPr>
        <w:jc w:val="both"/>
        <w:rPr>
          <w:sz w:val="22"/>
          <w:szCs w:val="22"/>
        </w:rPr>
      </w:pPr>
      <w:r w:rsidRPr="00514244">
        <w:rPr>
          <w:sz w:val="22"/>
          <w:szCs w:val="22"/>
        </w:rPr>
        <w:t>Aucune société n’applique le programme de vaccination proposé par le Commission Nationale de Pathologie Aviaire en intégralité.</w:t>
      </w:r>
    </w:p>
    <w:p w:rsidR="007F4C2C" w:rsidRPr="00514244" w:rsidRDefault="007F4C2C" w:rsidP="007F4C2C">
      <w:pPr>
        <w:numPr>
          <w:ilvl w:val="0"/>
          <w:numId w:val="1"/>
        </w:numPr>
        <w:jc w:val="both"/>
        <w:rPr>
          <w:sz w:val="22"/>
          <w:szCs w:val="22"/>
        </w:rPr>
      </w:pPr>
      <w:r w:rsidRPr="00514244">
        <w:rPr>
          <w:sz w:val="22"/>
          <w:szCs w:val="22"/>
        </w:rPr>
        <w:t>Il y a autant de programme de vaccination que de sociétés.</w:t>
      </w:r>
    </w:p>
    <w:p w:rsidR="007F4C2C" w:rsidRPr="00514244" w:rsidRDefault="007F4C2C" w:rsidP="007F4C2C">
      <w:pPr>
        <w:numPr>
          <w:ilvl w:val="0"/>
          <w:numId w:val="1"/>
        </w:numPr>
        <w:jc w:val="both"/>
        <w:rPr>
          <w:sz w:val="22"/>
          <w:szCs w:val="22"/>
        </w:rPr>
      </w:pPr>
      <w:r w:rsidRPr="00514244">
        <w:rPr>
          <w:sz w:val="22"/>
          <w:szCs w:val="22"/>
        </w:rPr>
        <w:t>Le recours à la vaccination dans l’eau de boisson est très répandu.</w:t>
      </w:r>
    </w:p>
    <w:p w:rsidR="007F4C2C" w:rsidRPr="00514244" w:rsidRDefault="007F4C2C" w:rsidP="007F4C2C">
      <w:pPr>
        <w:numPr>
          <w:ilvl w:val="0"/>
          <w:numId w:val="1"/>
        </w:numPr>
        <w:jc w:val="both"/>
        <w:rPr>
          <w:sz w:val="22"/>
          <w:szCs w:val="22"/>
        </w:rPr>
      </w:pPr>
      <w:r w:rsidRPr="00514244">
        <w:rPr>
          <w:sz w:val="22"/>
          <w:szCs w:val="22"/>
        </w:rPr>
        <w:t>De nombreuses sociétés abusent dans les vaccinations au début de l’élevage et sautent quelques vaccinations en période de production.</w:t>
      </w:r>
    </w:p>
    <w:p w:rsidR="007F4C2C" w:rsidRPr="00514244" w:rsidRDefault="007F4C2C" w:rsidP="007F4C2C">
      <w:pPr>
        <w:numPr>
          <w:ilvl w:val="0"/>
          <w:numId w:val="1"/>
        </w:numPr>
        <w:jc w:val="both"/>
        <w:rPr>
          <w:sz w:val="22"/>
          <w:szCs w:val="22"/>
        </w:rPr>
      </w:pPr>
      <w:r w:rsidRPr="00514244">
        <w:rPr>
          <w:sz w:val="22"/>
          <w:szCs w:val="22"/>
        </w:rPr>
        <w:t>La moyenne des titres anticorps atteint souvent des seuils acceptables mais l’hétérogénéité des lots est une constante qui concerne la totalité des sociétés.</w:t>
      </w:r>
    </w:p>
    <w:p w:rsidR="007F4C2C" w:rsidRPr="00514244" w:rsidRDefault="007F4C2C" w:rsidP="007F4C2C">
      <w:pPr>
        <w:numPr>
          <w:ilvl w:val="0"/>
          <w:numId w:val="1"/>
        </w:numPr>
        <w:jc w:val="both"/>
        <w:rPr>
          <w:sz w:val="22"/>
          <w:szCs w:val="22"/>
        </w:rPr>
      </w:pPr>
      <w:r w:rsidRPr="00514244">
        <w:rPr>
          <w:sz w:val="22"/>
          <w:szCs w:val="22"/>
        </w:rPr>
        <w:t>La vaccination contre la Réovirose ne semble pas être un facteur déterminant dans le programme prophylactique des bâtiments de reproducteurs.</w:t>
      </w:r>
    </w:p>
    <w:p w:rsidR="007F4C2C" w:rsidRPr="00514244" w:rsidRDefault="007F4C2C" w:rsidP="007F4C2C">
      <w:pPr>
        <w:numPr>
          <w:ilvl w:val="0"/>
          <w:numId w:val="1"/>
        </w:numPr>
        <w:jc w:val="both"/>
        <w:rPr>
          <w:sz w:val="22"/>
          <w:szCs w:val="22"/>
        </w:rPr>
      </w:pPr>
      <w:r w:rsidRPr="00514244">
        <w:rPr>
          <w:sz w:val="22"/>
          <w:szCs w:val="22"/>
        </w:rPr>
        <w:t>L’EDS : la vaccination n’est pas recommandée dans notre pays : aucun problème inhérent à ce virus n’a été signalé. La vaccination n’est pas ciblée, mais l’utilisation d’un vaccin inactivé contre la SIGT inclus une valence contre l’EDS.</w:t>
      </w:r>
    </w:p>
    <w:p w:rsidR="001E77E0" w:rsidRPr="00514244" w:rsidRDefault="007F4C2C" w:rsidP="007F4C2C">
      <w:pPr>
        <w:numPr>
          <w:ilvl w:val="0"/>
          <w:numId w:val="1"/>
        </w:numPr>
        <w:jc w:val="both"/>
        <w:rPr>
          <w:sz w:val="22"/>
          <w:szCs w:val="22"/>
        </w:rPr>
      </w:pPr>
      <w:r w:rsidRPr="00514244">
        <w:rPr>
          <w:sz w:val="22"/>
          <w:szCs w:val="22"/>
        </w:rPr>
        <w:t>LTI : ne pose pas de problèmes dans notre pays, mais en tant que maladie émergente, il y a lieu d’être vigilent.</w:t>
      </w:r>
    </w:p>
    <w:sectPr w:rsidR="001E77E0" w:rsidRPr="00514244" w:rsidSect="001E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6493"/>
    <w:multiLevelType w:val="hybridMultilevel"/>
    <w:tmpl w:val="2DD82B22"/>
    <w:lvl w:ilvl="0" w:tplc="298A1D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C2C"/>
    <w:rsid w:val="00067A34"/>
    <w:rsid w:val="001524AD"/>
    <w:rsid w:val="001E77E0"/>
    <w:rsid w:val="002D72FF"/>
    <w:rsid w:val="00342A5C"/>
    <w:rsid w:val="00354973"/>
    <w:rsid w:val="00383351"/>
    <w:rsid w:val="00514244"/>
    <w:rsid w:val="005B3F37"/>
    <w:rsid w:val="007A6CC5"/>
    <w:rsid w:val="007F4C2C"/>
    <w:rsid w:val="00834A52"/>
    <w:rsid w:val="008D1315"/>
    <w:rsid w:val="009362D1"/>
    <w:rsid w:val="00945F2B"/>
    <w:rsid w:val="00963E59"/>
    <w:rsid w:val="00DB298C"/>
    <w:rsid w:val="00F8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1</cp:revision>
  <dcterms:created xsi:type="dcterms:W3CDTF">2009-10-16T09:46:00Z</dcterms:created>
  <dcterms:modified xsi:type="dcterms:W3CDTF">2009-10-16T10:08:00Z</dcterms:modified>
</cp:coreProperties>
</file>