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54" w:rsidRDefault="00BC3554" w:rsidP="00BC3554">
      <w:pPr>
        <w:pStyle w:val="NormalWeb"/>
        <w:jc w:val="center"/>
      </w:pPr>
      <w:r>
        <w:rPr>
          <w:rFonts w:ascii="Arial" w:hAnsi="Arial" w:cs="Arial"/>
          <w:b/>
          <w:bCs/>
          <w:color w:val="FF0000"/>
          <w:sz w:val="27"/>
          <w:szCs w:val="27"/>
        </w:rPr>
        <w:t xml:space="preserve">Résultats de vaccination  contre la   maladie de Gumboro à 1 jour au couvoir avec le vaccin </w:t>
      </w:r>
      <w:proofErr w:type="spellStart"/>
      <w:r>
        <w:rPr>
          <w:rFonts w:ascii="Arial" w:hAnsi="Arial" w:cs="Arial"/>
          <w:b/>
          <w:bCs/>
          <w:color w:val="FF0000"/>
          <w:sz w:val="27"/>
          <w:szCs w:val="27"/>
        </w:rPr>
        <w:t>Cevac</w:t>
      </w:r>
      <w:proofErr w:type="spellEnd"/>
      <w:r>
        <w:rPr>
          <w:rFonts w:ascii="Arial" w:hAnsi="Arial" w:cs="Arial"/>
          <w:b/>
          <w:bCs/>
          <w:color w:val="FF0000"/>
          <w:sz w:val="27"/>
          <w:szCs w:val="27"/>
        </w:rPr>
        <w:t xml:space="preserve">® </w:t>
      </w:r>
      <w:proofErr w:type="spellStart"/>
      <w:r>
        <w:rPr>
          <w:rFonts w:ascii="Arial" w:hAnsi="Arial" w:cs="Arial"/>
          <w:b/>
          <w:bCs/>
          <w:color w:val="FF0000"/>
          <w:sz w:val="27"/>
          <w:szCs w:val="27"/>
        </w:rPr>
        <w:t>Transmune</w:t>
      </w:r>
      <w:proofErr w:type="spellEnd"/>
      <w:r>
        <w:rPr>
          <w:rFonts w:ascii="Arial" w:hAnsi="Arial" w:cs="Arial"/>
          <w:b/>
          <w:bCs/>
          <w:color w:val="FF0000"/>
          <w:sz w:val="27"/>
          <w:szCs w:val="27"/>
        </w:rPr>
        <w:t xml:space="preserve"> IBD en Tunisie</w:t>
      </w:r>
      <w:r>
        <w:t xml:space="preserve"> </w:t>
      </w:r>
    </w:p>
    <w:p w:rsidR="00BC3554" w:rsidRDefault="00BC3554" w:rsidP="00BC3554">
      <w:pPr>
        <w:pStyle w:val="NormalWeb"/>
      </w:pPr>
      <w:r>
        <w:rPr>
          <w:rFonts w:ascii="Arial" w:hAnsi="Arial" w:cs="Arial"/>
          <w:sz w:val="20"/>
          <w:szCs w:val="20"/>
        </w:rPr>
        <w:t>                    ABBES. O</w:t>
      </w:r>
      <w:r w:rsidRPr="00BC3554">
        <w:rPr>
          <w:rFonts w:ascii="Arial" w:hAnsi="Arial" w:cs="Arial"/>
          <w:sz w:val="20"/>
          <w:szCs w:val="20"/>
          <w:vertAlign w:val="superscript"/>
        </w:rPr>
        <w:t>1</w:t>
      </w:r>
      <w:r>
        <w:rPr>
          <w:rFonts w:ascii="Arial" w:hAnsi="Arial" w:cs="Arial"/>
          <w:sz w:val="20"/>
          <w:szCs w:val="20"/>
        </w:rPr>
        <w:t>, CHEBBI CH</w:t>
      </w:r>
      <w:r>
        <w:rPr>
          <w:rFonts w:ascii="Arial" w:hAnsi="Arial" w:cs="Arial"/>
          <w:sz w:val="20"/>
          <w:szCs w:val="20"/>
          <w:vertAlign w:val="superscript"/>
        </w:rPr>
        <w:t>2</w:t>
      </w:r>
      <w:r>
        <w:rPr>
          <w:rFonts w:ascii="Arial" w:hAnsi="Arial" w:cs="Arial"/>
          <w:sz w:val="20"/>
          <w:szCs w:val="20"/>
        </w:rPr>
        <w:t>, MTIBAA .M</w:t>
      </w:r>
      <w:r w:rsidRPr="00BC3554">
        <w:rPr>
          <w:rFonts w:ascii="Arial" w:hAnsi="Arial" w:cs="Arial"/>
          <w:sz w:val="20"/>
          <w:szCs w:val="20"/>
          <w:vertAlign w:val="superscript"/>
        </w:rPr>
        <w:t>1</w:t>
      </w:r>
      <w:r>
        <w:rPr>
          <w:rFonts w:ascii="Arial" w:hAnsi="Arial" w:cs="Arial"/>
          <w:sz w:val="20"/>
          <w:szCs w:val="20"/>
        </w:rPr>
        <w:t>, JOMAA .M</w:t>
      </w:r>
      <w:r w:rsidRPr="00BC3554">
        <w:rPr>
          <w:rFonts w:ascii="Arial" w:hAnsi="Arial" w:cs="Arial"/>
          <w:sz w:val="20"/>
          <w:szCs w:val="20"/>
          <w:vertAlign w:val="superscript"/>
        </w:rPr>
        <w:t>1</w:t>
      </w:r>
      <w:r>
        <w:rPr>
          <w:rFonts w:ascii="Arial" w:hAnsi="Arial" w:cs="Arial"/>
          <w:sz w:val="20"/>
          <w:szCs w:val="20"/>
        </w:rPr>
        <w:t>, ALLAGUI.E</w:t>
      </w:r>
      <w:r>
        <w:rPr>
          <w:rFonts w:ascii="Arial" w:hAnsi="Arial" w:cs="Arial"/>
          <w:sz w:val="20"/>
          <w:szCs w:val="20"/>
          <w:vertAlign w:val="superscript"/>
        </w:rPr>
        <w:t>3</w:t>
      </w:r>
      <w:r>
        <w:t xml:space="preserve"> </w:t>
      </w:r>
    </w:p>
    <w:p w:rsidR="00BC3554" w:rsidRPr="00BC3554" w:rsidRDefault="00BC3554" w:rsidP="00BC3554">
      <w:pPr>
        <w:pStyle w:val="NormalWeb"/>
        <w:numPr>
          <w:ilvl w:val="0"/>
          <w:numId w:val="1"/>
        </w:numPr>
        <w:rPr>
          <w:rFonts w:ascii="Arial" w:hAnsi="Arial" w:cs="Arial"/>
          <w:sz w:val="20"/>
          <w:szCs w:val="20"/>
        </w:rPr>
      </w:pPr>
      <w:r w:rsidRPr="00BC3554">
        <w:rPr>
          <w:rFonts w:ascii="Arial" w:hAnsi="Arial" w:cs="Arial"/>
          <w:sz w:val="20"/>
          <w:szCs w:val="20"/>
        </w:rPr>
        <w:t>POULINA</w:t>
      </w:r>
    </w:p>
    <w:p w:rsidR="00BC3554" w:rsidRPr="00BC3554" w:rsidRDefault="00BC3554" w:rsidP="00BC3554">
      <w:pPr>
        <w:pStyle w:val="NormalWeb"/>
        <w:numPr>
          <w:ilvl w:val="0"/>
          <w:numId w:val="1"/>
        </w:numPr>
        <w:rPr>
          <w:rFonts w:ascii="Arial" w:hAnsi="Arial" w:cs="Arial"/>
          <w:sz w:val="20"/>
          <w:szCs w:val="20"/>
        </w:rPr>
      </w:pPr>
      <w:r w:rsidRPr="00BC3554">
        <w:rPr>
          <w:rFonts w:ascii="Arial" w:hAnsi="Arial" w:cs="Arial"/>
          <w:sz w:val="20"/>
          <w:szCs w:val="20"/>
        </w:rPr>
        <w:t>SOTAVI</w:t>
      </w:r>
    </w:p>
    <w:p w:rsidR="00BC3554" w:rsidRPr="00BC3554" w:rsidRDefault="00BC3554" w:rsidP="00BC3554">
      <w:pPr>
        <w:pStyle w:val="NormalWeb"/>
        <w:numPr>
          <w:ilvl w:val="0"/>
          <w:numId w:val="1"/>
        </w:numPr>
        <w:rPr>
          <w:rFonts w:ascii="Arial" w:hAnsi="Arial" w:cs="Arial"/>
          <w:sz w:val="20"/>
          <w:szCs w:val="20"/>
        </w:rPr>
      </w:pPr>
      <w:r w:rsidRPr="00BC3554">
        <w:rPr>
          <w:rFonts w:ascii="Arial" w:hAnsi="Arial" w:cs="Arial"/>
          <w:sz w:val="20"/>
          <w:szCs w:val="20"/>
        </w:rPr>
        <w:t>CEVA</w:t>
      </w:r>
    </w:p>
    <w:p w:rsidR="00BC3554" w:rsidRDefault="00BC3554" w:rsidP="00BC3554">
      <w:pPr>
        <w:pStyle w:val="NormalWeb"/>
      </w:pPr>
      <w:r>
        <w:rPr>
          <w:rFonts w:ascii="Arial" w:hAnsi="Arial" w:cs="Arial"/>
          <w:color w:val="FF0000"/>
          <w:sz w:val="27"/>
          <w:szCs w:val="27"/>
        </w:rPr>
        <w:t>Résumé</w:t>
      </w:r>
      <w:r>
        <w:t xml:space="preserve"> </w:t>
      </w:r>
    </w:p>
    <w:p w:rsidR="00BC3554" w:rsidRDefault="00BC3554" w:rsidP="00BC3554">
      <w:pPr>
        <w:pStyle w:val="NormalWeb"/>
        <w:jc w:val="both"/>
      </w:pPr>
      <w:r>
        <w:rPr>
          <w:rFonts w:ascii="Arial" w:hAnsi="Arial" w:cs="Arial"/>
        </w:rPr>
        <w:t>La vaccination à un jour a été mise en place dans des élevages de poulet de chair avec une forte pression virale de la maladie de Gumboro, avec des mauvaises performances zootechniques des lots, des infections secondaires et des mortalités. L'auteur présente les résultats de contrôle de la maladie de Gumboro avec un vaccin  </w:t>
      </w:r>
      <w:proofErr w:type="spellStart"/>
      <w:r>
        <w:rPr>
          <w:rFonts w:ascii="Arial" w:hAnsi="Arial" w:cs="Arial"/>
        </w:rPr>
        <w:t>Cevac</w:t>
      </w:r>
      <w:proofErr w:type="spellEnd"/>
      <w:r>
        <w:rPr>
          <w:rFonts w:ascii="Arial" w:hAnsi="Arial" w:cs="Arial"/>
        </w:rPr>
        <w:t xml:space="preserve"> </w:t>
      </w:r>
      <w:proofErr w:type="spellStart"/>
      <w:r>
        <w:rPr>
          <w:rFonts w:ascii="Arial" w:hAnsi="Arial" w:cs="Arial"/>
        </w:rPr>
        <w:t>Transmune</w:t>
      </w:r>
      <w:proofErr w:type="spellEnd"/>
      <w:r>
        <w:rPr>
          <w:rFonts w:ascii="Arial" w:hAnsi="Arial" w:cs="Arial"/>
        </w:rPr>
        <w:t xml:space="preserve"> IBD à I jour sur une durée d'une année.</w:t>
      </w:r>
      <w:r>
        <w:t xml:space="preserve"> </w:t>
      </w:r>
    </w:p>
    <w:p w:rsidR="00BC3554" w:rsidRDefault="00BC3554" w:rsidP="00BC3554">
      <w:pPr>
        <w:pStyle w:val="NormalWeb"/>
        <w:jc w:val="both"/>
      </w:pPr>
      <w:r>
        <w:rPr>
          <w:rFonts w:ascii="Arial" w:hAnsi="Arial" w:cs="Arial"/>
        </w:rPr>
        <w:t>Le but de ce travail était d'évaluer l'efficacité et la sécurité du vaccin administré en s/c à 1 jour à des poulets de chair.  </w:t>
      </w:r>
      <w:r>
        <w:t xml:space="preserve"> </w:t>
      </w:r>
    </w:p>
    <w:p w:rsidR="00BC3554" w:rsidRDefault="00BC3554" w:rsidP="00BC3554">
      <w:pPr>
        <w:pStyle w:val="NormalWeb"/>
        <w:jc w:val="both"/>
      </w:pPr>
      <w:r>
        <w:rPr>
          <w:rFonts w:ascii="Arial" w:hAnsi="Arial" w:cs="Arial"/>
        </w:rPr>
        <w:t>Les résultats technico-économiques ont été enregistrés durant 12 mois, de Juillet 2008 à Juin 2009.</w:t>
      </w:r>
      <w:r>
        <w:t xml:space="preserve"> </w:t>
      </w:r>
    </w:p>
    <w:p w:rsidR="00BC3554" w:rsidRDefault="00BC3554" w:rsidP="00BC3554">
      <w:pPr>
        <w:pStyle w:val="NormalWeb"/>
        <w:jc w:val="both"/>
      </w:pPr>
      <w:r>
        <w:rPr>
          <w:rFonts w:ascii="Arial" w:hAnsi="Arial" w:cs="Arial"/>
        </w:rPr>
        <w:t xml:space="preserve">Les résultats techniques (Viabilité, GMQ, IC, IP) de l'utilisation du vaccin </w:t>
      </w:r>
      <w:proofErr w:type="spellStart"/>
      <w:r>
        <w:rPr>
          <w:rFonts w:ascii="Arial" w:hAnsi="Arial" w:cs="Arial"/>
        </w:rPr>
        <w:t>Cevac</w:t>
      </w:r>
      <w:proofErr w:type="spellEnd"/>
      <w:r>
        <w:rPr>
          <w:rFonts w:ascii="Arial" w:hAnsi="Arial" w:cs="Arial"/>
        </w:rPr>
        <w:t xml:space="preserve"> IBD enregistrés sur plus de  treize millions de sujets, sont comparés à des résultats de lots antérieurs élevés sur les mêmes sites, 2 330 400 poulets, avec un programme de vaccination classique ( intermédiaire + intermédiaire plus).</w:t>
      </w:r>
      <w:r>
        <w:t xml:space="preserve"> </w:t>
      </w:r>
    </w:p>
    <w:p w:rsidR="00BC3554" w:rsidRDefault="00BC3554" w:rsidP="00BC3554">
      <w:pPr>
        <w:pStyle w:val="NormalWeb"/>
        <w:jc w:val="both"/>
      </w:pPr>
      <w:r>
        <w:rPr>
          <w:rFonts w:ascii="Arial" w:hAnsi="Arial" w:cs="Arial"/>
        </w:rPr>
        <w:t>L'administration du vaccin à 1 jour au couvoir permet  d'éviter les nombreuses contraintes  liées à la vaccination traditionnelle par eau de boisson en élevage : difficulté de choix de la date optimale de vaccination, quantité &amp; qualité de l'eau et technicité du vaccinateur.</w:t>
      </w:r>
      <w:r>
        <w:rPr>
          <w:rFonts w:ascii="Arial" w:hAnsi="Arial" w:cs="Arial"/>
          <w:b/>
          <w:bCs/>
        </w:rPr>
        <w:t xml:space="preserve"> </w:t>
      </w:r>
    </w:p>
    <w:p w:rsidR="00BC3554" w:rsidRDefault="00BC3554" w:rsidP="00BC3554">
      <w:pPr>
        <w:pStyle w:val="NormalWeb"/>
        <w:jc w:val="both"/>
      </w:pPr>
      <w:r>
        <w:rPr>
          <w:rFonts w:ascii="Arial" w:hAnsi="Arial" w:cs="Arial"/>
        </w:rPr>
        <w:t>Les résultats technico-économiques obtenus avec les lots vaccinés au couvoir sont nettement supérieurs aux lots vaccinés par eau de boisson.</w:t>
      </w:r>
      <w:r>
        <w:t xml:space="preserve"> </w:t>
      </w:r>
    </w:p>
    <w:p w:rsidR="00BC3554" w:rsidRDefault="00BC3554" w:rsidP="00BC3554">
      <w:pPr>
        <w:pStyle w:val="NormalWeb"/>
      </w:pPr>
    </w:p>
    <w:p w:rsidR="001E77E0" w:rsidRDefault="001E77E0"/>
    <w:sectPr w:rsidR="001E77E0" w:rsidSect="001E77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8677C"/>
    <w:multiLevelType w:val="hybridMultilevel"/>
    <w:tmpl w:val="31E69A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554"/>
    <w:rsid w:val="00067A34"/>
    <w:rsid w:val="001524AD"/>
    <w:rsid w:val="001E77E0"/>
    <w:rsid w:val="002D72FF"/>
    <w:rsid w:val="00342A5C"/>
    <w:rsid w:val="00354973"/>
    <w:rsid w:val="00383351"/>
    <w:rsid w:val="005B3F37"/>
    <w:rsid w:val="007A6CC5"/>
    <w:rsid w:val="00834A52"/>
    <w:rsid w:val="009362D1"/>
    <w:rsid w:val="00945F2B"/>
    <w:rsid w:val="00BC3554"/>
    <w:rsid w:val="00DB298C"/>
    <w:rsid w:val="00DB784D"/>
    <w:rsid w:val="00F819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35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C35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3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6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1340</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cp:revision>
  <cp:lastPrinted>2009-11-16T08:10:00Z</cp:lastPrinted>
  <dcterms:created xsi:type="dcterms:W3CDTF">2009-11-16T08:08:00Z</dcterms:created>
  <dcterms:modified xsi:type="dcterms:W3CDTF">2009-11-16T08:12:00Z</dcterms:modified>
</cp:coreProperties>
</file>